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6B27" w:rsidRPr="00FC55A2" w:rsidRDefault="00CB3F3A" w:rsidP="00C56B27">
      <w:pPr>
        <w:jc w:val="center"/>
        <w:rPr>
          <w:rFonts w:ascii="Times New Roman" w:hAnsi="Times New Roman" w:cs="Times New Roman"/>
          <w:color w:val="000000" w:themeColor="text1"/>
          <w:sz w:val="24"/>
          <w:szCs w:val="24"/>
          <w:shd w:val="clear" w:color="auto" w:fill="FFFFFF"/>
        </w:rPr>
      </w:pPr>
      <w:r w:rsidRPr="00FC55A2">
        <w:rPr>
          <w:rFonts w:ascii="Times New Roman" w:hAnsi="Times New Roman" w:cs="Times New Roman"/>
          <w:color w:val="000000" w:themeColor="text1"/>
          <w:sz w:val="24"/>
          <w:szCs w:val="24"/>
          <w:shd w:val="clear" w:color="auto" w:fill="FFFFFF"/>
        </w:rPr>
        <w:t>North Sea Continental Shelf (Federal Republic of Germany/Netherlands)</w:t>
      </w:r>
    </w:p>
    <w:p w:rsidR="00DA06B9" w:rsidRPr="00FC55A2" w:rsidRDefault="00CB3F3A" w:rsidP="00C56B27">
      <w:pPr>
        <w:jc w:val="center"/>
        <w:rPr>
          <w:rFonts w:ascii="Times New Roman" w:hAnsi="Times New Roman" w:cs="Times New Roman"/>
          <w:color w:val="000000" w:themeColor="text1"/>
          <w:sz w:val="24"/>
          <w:szCs w:val="24"/>
          <w:shd w:val="clear" w:color="auto" w:fill="FFFFFF"/>
        </w:rPr>
      </w:pPr>
      <w:r w:rsidRPr="00FC55A2">
        <w:rPr>
          <w:rFonts w:ascii="Times New Roman" w:hAnsi="Times New Roman" w:cs="Times New Roman"/>
          <w:color w:val="000000" w:themeColor="text1"/>
          <w:sz w:val="24"/>
          <w:szCs w:val="24"/>
          <w:shd w:val="clear" w:color="auto" w:fill="FFFFFF"/>
        </w:rPr>
        <w:t>(1969)</w:t>
      </w:r>
    </w:p>
    <w:p w:rsidR="00C56B27" w:rsidRPr="00FC55A2" w:rsidRDefault="00CB3F3A" w:rsidP="00C56B27">
      <w:pPr>
        <w:rPr>
          <w:rFonts w:ascii="Times New Roman" w:hAnsi="Times New Roman" w:cs="Times New Roman"/>
          <w:b/>
          <w:bCs/>
          <w:color w:val="000000" w:themeColor="text1"/>
          <w:sz w:val="24"/>
          <w:szCs w:val="24"/>
          <w:shd w:val="clear" w:color="auto" w:fill="FFFFFF"/>
        </w:rPr>
      </w:pPr>
      <w:r w:rsidRPr="00FC55A2">
        <w:rPr>
          <w:rFonts w:ascii="Times New Roman" w:hAnsi="Times New Roman" w:cs="Times New Roman"/>
          <w:b/>
          <w:bCs/>
          <w:color w:val="000000" w:themeColor="text1"/>
          <w:sz w:val="24"/>
          <w:szCs w:val="24"/>
          <w:shd w:val="clear" w:color="auto" w:fill="FFFFFF"/>
        </w:rPr>
        <w:t>Facts</w:t>
      </w:r>
    </w:p>
    <w:p w:rsidR="00FC55A2" w:rsidRDefault="00CB3F3A" w:rsidP="00C56B27">
      <w:pPr>
        <w:rPr>
          <w:rFonts w:ascii="Times New Roman" w:hAnsi="Times New Roman" w:cs="Times New Roman"/>
          <w:color w:val="000000" w:themeColor="text1"/>
          <w:sz w:val="24"/>
          <w:szCs w:val="24"/>
          <w:shd w:val="clear" w:color="auto" w:fill="FFFFFF"/>
        </w:rPr>
      </w:pPr>
      <w:r w:rsidRPr="00FC55A2">
        <w:rPr>
          <w:rFonts w:ascii="Times New Roman" w:hAnsi="Times New Roman" w:cs="Times New Roman"/>
          <w:color w:val="000000" w:themeColor="text1"/>
          <w:sz w:val="24"/>
          <w:szCs w:val="24"/>
          <w:shd w:val="clear" w:color="auto" w:fill="FFFFFF"/>
        </w:rPr>
        <w:t>a. The</w:t>
      </w:r>
      <w:r w:rsidR="00C56B27" w:rsidRPr="00FC55A2">
        <w:rPr>
          <w:rFonts w:ascii="Times New Roman" w:hAnsi="Times New Roman" w:cs="Times New Roman"/>
          <w:color w:val="000000" w:themeColor="text1"/>
          <w:sz w:val="24"/>
          <w:szCs w:val="24"/>
          <w:shd w:val="clear" w:color="auto" w:fill="FFFFFF"/>
        </w:rPr>
        <w:t xml:space="preserve"> case involved the boundary of the continental shelf in the North Sea amid </w:t>
      </w:r>
      <w:r w:rsidR="00A80A0D" w:rsidRPr="00FC55A2">
        <w:rPr>
          <w:rFonts w:ascii="Times New Roman" w:hAnsi="Times New Roman" w:cs="Times New Roman"/>
          <w:color w:val="000000" w:themeColor="text1"/>
          <w:sz w:val="24"/>
          <w:szCs w:val="24"/>
          <w:shd w:val="clear" w:color="auto" w:fill="FFFFFF"/>
        </w:rPr>
        <w:t xml:space="preserve">the Federal Republic of Germany and </w:t>
      </w:r>
      <w:r w:rsidRPr="00FC55A2">
        <w:rPr>
          <w:rFonts w:ascii="Times New Roman" w:hAnsi="Times New Roman" w:cs="Times New Roman"/>
          <w:color w:val="000000" w:themeColor="text1"/>
          <w:sz w:val="24"/>
          <w:szCs w:val="24"/>
          <w:shd w:val="clear" w:color="auto" w:fill="FFFFFF"/>
        </w:rPr>
        <w:t>Netherlands, which was presented to the court through a distinct agreement.</w:t>
      </w:r>
    </w:p>
    <w:p w:rsidR="00C56B27" w:rsidRPr="00FC55A2" w:rsidRDefault="00CB3F3A" w:rsidP="00C56B27">
      <w:pPr>
        <w:rPr>
          <w:rFonts w:ascii="Times New Roman" w:hAnsi="Times New Roman" w:cs="Times New Roman"/>
          <w:color w:val="000000" w:themeColor="text1"/>
          <w:sz w:val="24"/>
          <w:szCs w:val="24"/>
          <w:shd w:val="clear" w:color="auto" w:fill="FFFFFF"/>
        </w:rPr>
      </w:pPr>
      <w:r w:rsidRPr="00FC55A2">
        <w:rPr>
          <w:rFonts w:ascii="Times New Roman" w:hAnsi="Times New Roman" w:cs="Times New Roman"/>
          <w:color w:val="000000" w:themeColor="text1"/>
          <w:sz w:val="24"/>
          <w:szCs w:val="24"/>
          <w:shd w:val="clear" w:color="auto" w:fill="FFFFFF"/>
        </w:rPr>
        <w:t xml:space="preserve">b. </w:t>
      </w:r>
      <w:r w:rsidR="004070C0" w:rsidRPr="00FC55A2">
        <w:rPr>
          <w:rFonts w:ascii="Times New Roman" w:hAnsi="Times New Roman" w:cs="Times New Roman"/>
          <w:color w:val="000000" w:themeColor="text1"/>
          <w:sz w:val="24"/>
          <w:szCs w:val="24"/>
          <w:shd w:val="clear" w:color="auto" w:fill="FFFFFF"/>
        </w:rPr>
        <w:t xml:space="preserve">The coastal region of Germany is concave, while those of Netherlands and Denmark are convex. This led to disagreements between the countries as a result of the equidistance rule in which Germany was to receive the smaller segment of the shelf. Germany claimed that the coastline length could determine delimitation. Thus, Germany expected the international court to divide the coastline </w:t>
      </w:r>
      <w:r w:rsidRPr="00FC55A2">
        <w:rPr>
          <w:rFonts w:ascii="Times New Roman" w:hAnsi="Times New Roman" w:cs="Times New Roman"/>
          <w:color w:val="000000" w:themeColor="text1"/>
          <w:sz w:val="24"/>
          <w:szCs w:val="24"/>
          <w:shd w:val="clear" w:color="auto" w:fill="FFFFFF"/>
        </w:rPr>
        <w:t>in view of</w:t>
      </w:r>
      <w:r w:rsidR="004070C0" w:rsidRPr="00FC55A2">
        <w:rPr>
          <w:rFonts w:ascii="Times New Roman" w:hAnsi="Times New Roman" w:cs="Times New Roman"/>
          <w:color w:val="000000" w:themeColor="text1"/>
          <w:sz w:val="24"/>
          <w:szCs w:val="24"/>
          <w:shd w:val="clear" w:color="auto" w:fill="FFFFFF"/>
        </w:rPr>
        <w:t xml:space="preserve"> the adjacent land owned by a state, which is considered to be just rather than by the use of the equidistant rule. Netherland wished that the law of equidistant to be applied according to Article 6, p.2.</w:t>
      </w:r>
      <w:r w:rsidR="00461174" w:rsidRPr="00FC55A2">
        <w:rPr>
          <w:rFonts w:ascii="Times New Roman" w:hAnsi="Times New Roman" w:cs="Times New Roman"/>
          <w:color w:val="000000" w:themeColor="text1"/>
          <w:sz w:val="24"/>
          <w:szCs w:val="24"/>
          <w:shd w:val="clear" w:color="auto" w:fill="FFFFFF"/>
        </w:rPr>
        <w:t xml:space="preserve"> The court was to decide on the rules and principles which could be used in the del</w:t>
      </w:r>
      <w:r w:rsidR="0077027A" w:rsidRPr="00FC55A2">
        <w:rPr>
          <w:rFonts w:ascii="Times New Roman" w:hAnsi="Times New Roman" w:cs="Times New Roman"/>
          <w:color w:val="000000" w:themeColor="text1"/>
          <w:sz w:val="24"/>
          <w:szCs w:val="24"/>
          <w:shd w:val="clear" w:color="auto" w:fill="FFFFFF"/>
        </w:rPr>
        <w:t>i</w:t>
      </w:r>
      <w:r w:rsidR="00461174" w:rsidRPr="00FC55A2">
        <w:rPr>
          <w:rFonts w:ascii="Times New Roman" w:hAnsi="Times New Roman" w:cs="Times New Roman"/>
          <w:color w:val="000000" w:themeColor="text1"/>
          <w:sz w:val="24"/>
          <w:szCs w:val="24"/>
          <w:shd w:val="clear" w:color="auto" w:fill="FFFFFF"/>
        </w:rPr>
        <w:t>mi</w:t>
      </w:r>
      <w:r w:rsidR="0077027A" w:rsidRPr="00FC55A2">
        <w:rPr>
          <w:rFonts w:ascii="Times New Roman" w:hAnsi="Times New Roman" w:cs="Times New Roman"/>
          <w:color w:val="000000" w:themeColor="text1"/>
          <w:sz w:val="24"/>
          <w:szCs w:val="24"/>
          <w:shd w:val="clear" w:color="auto" w:fill="FFFFFF"/>
        </w:rPr>
        <w:t>t</w:t>
      </w:r>
      <w:r w:rsidR="00461174" w:rsidRPr="00FC55A2">
        <w:rPr>
          <w:rFonts w:ascii="Times New Roman" w:hAnsi="Times New Roman" w:cs="Times New Roman"/>
          <w:color w:val="000000" w:themeColor="text1"/>
          <w:sz w:val="24"/>
          <w:szCs w:val="24"/>
          <w:shd w:val="clear" w:color="auto" w:fill="FFFFFF"/>
        </w:rPr>
        <w:t>ation. By doing this, the court was to determine if the policies advocated by the parties via agreements or the international law were abiding.</w:t>
      </w:r>
      <w:r w:rsidR="00A045A7" w:rsidRPr="00FC55A2">
        <w:rPr>
          <w:rFonts w:ascii="Times New Roman" w:hAnsi="Times New Roman" w:cs="Times New Roman"/>
          <w:color w:val="000000" w:themeColor="text1"/>
          <w:sz w:val="24"/>
          <w:szCs w:val="24"/>
          <w:shd w:val="clear" w:color="auto" w:fill="FFFFFF"/>
        </w:rPr>
        <w:t xml:space="preserve"> The case was presented to the court on </w:t>
      </w:r>
      <w:r w:rsidR="00CD5D53" w:rsidRPr="00FC55A2">
        <w:rPr>
          <w:rFonts w:ascii="Times New Roman" w:hAnsi="Times New Roman" w:cs="Times New Roman"/>
          <w:color w:val="000000" w:themeColor="text1"/>
          <w:sz w:val="24"/>
          <w:szCs w:val="24"/>
          <w:shd w:val="clear" w:color="auto" w:fill="FFFFFF"/>
        </w:rPr>
        <w:t>26 April 1968, and the verdicts were made on 20 February 1969.</w:t>
      </w:r>
    </w:p>
    <w:p w:rsidR="00461174" w:rsidRPr="00FC55A2" w:rsidRDefault="00CB3F3A" w:rsidP="00C56B27">
      <w:pPr>
        <w:rPr>
          <w:rFonts w:ascii="Times New Roman" w:hAnsi="Times New Roman" w:cs="Times New Roman"/>
          <w:b/>
          <w:bCs/>
          <w:color w:val="000000" w:themeColor="text1"/>
          <w:sz w:val="24"/>
          <w:szCs w:val="24"/>
          <w:shd w:val="clear" w:color="auto" w:fill="FFFFFF"/>
        </w:rPr>
      </w:pPr>
      <w:r w:rsidRPr="00FC55A2">
        <w:rPr>
          <w:rFonts w:ascii="Times New Roman" w:hAnsi="Times New Roman" w:cs="Times New Roman"/>
          <w:b/>
          <w:bCs/>
          <w:color w:val="000000" w:themeColor="text1"/>
          <w:sz w:val="24"/>
          <w:szCs w:val="24"/>
          <w:shd w:val="clear" w:color="auto" w:fill="FFFFFF"/>
        </w:rPr>
        <w:t>Questions</w:t>
      </w:r>
    </w:p>
    <w:p w:rsidR="00461174" w:rsidRPr="00FC55A2" w:rsidRDefault="00CB3F3A" w:rsidP="002B3B24">
      <w:pPr>
        <w:rPr>
          <w:rFonts w:ascii="Times New Roman" w:hAnsi="Times New Roman" w:cs="Times New Roman"/>
          <w:color w:val="000000" w:themeColor="text1"/>
          <w:sz w:val="24"/>
          <w:szCs w:val="24"/>
          <w:shd w:val="clear" w:color="auto" w:fill="FFFFFF"/>
        </w:rPr>
      </w:pPr>
      <w:r w:rsidRPr="00FC55A2">
        <w:rPr>
          <w:rFonts w:ascii="Times New Roman" w:hAnsi="Times New Roman" w:cs="Times New Roman"/>
          <w:color w:val="000000" w:themeColor="text1"/>
          <w:sz w:val="24"/>
          <w:szCs w:val="24"/>
          <w:shd w:val="clear" w:color="auto" w:fill="FFFFFF"/>
        </w:rPr>
        <w:t xml:space="preserve">a. Could Germany accept the equidistance principle under the legal requirement, which is contained in Geneve Convention Article 6 of 1958, being customary ether law or based on the Geneva </w:t>
      </w:r>
      <w:r w:rsidR="00FC55A2" w:rsidRPr="00FC55A2">
        <w:rPr>
          <w:rFonts w:ascii="Times New Roman" w:hAnsi="Times New Roman" w:cs="Times New Roman"/>
          <w:color w:val="000000" w:themeColor="text1"/>
          <w:sz w:val="24"/>
          <w:szCs w:val="24"/>
          <w:shd w:val="clear" w:color="auto" w:fill="FFFFFF"/>
        </w:rPr>
        <w:t>Convention</w:t>
      </w:r>
      <w:r w:rsidRPr="00FC55A2">
        <w:rPr>
          <w:rFonts w:ascii="Times New Roman" w:hAnsi="Times New Roman" w:cs="Times New Roman"/>
          <w:color w:val="000000" w:themeColor="text1"/>
          <w:sz w:val="24"/>
          <w:szCs w:val="24"/>
          <w:shd w:val="clear" w:color="auto" w:fill="FFFFFF"/>
        </w:rPr>
        <w:t>?</w:t>
      </w:r>
    </w:p>
    <w:p w:rsidR="002B3B24" w:rsidRPr="00FC55A2" w:rsidRDefault="00CB3F3A" w:rsidP="002B3B24">
      <w:pPr>
        <w:rPr>
          <w:rFonts w:ascii="Times New Roman" w:hAnsi="Times New Roman" w:cs="Times New Roman"/>
          <w:b/>
          <w:bCs/>
          <w:color w:val="000000" w:themeColor="text1"/>
          <w:sz w:val="24"/>
          <w:szCs w:val="24"/>
          <w:shd w:val="clear" w:color="auto" w:fill="FFFFFF"/>
        </w:rPr>
      </w:pPr>
      <w:r w:rsidRPr="00FC55A2">
        <w:rPr>
          <w:rFonts w:ascii="Times New Roman" w:hAnsi="Times New Roman" w:cs="Times New Roman"/>
          <w:b/>
          <w:bCs/>
          <w:color w:val="000000" w:themeColor="text1"/>
          <w:sz w:val="24"/>
          <w:szCs w:val="24"/>
          <w:shd w:val="clear" w:color="auto" w:fill="FFFFFF"/>
        </w:rPr>
        <w:t>Decisions</w:t>
      </w:r>
    </w:p>
    <w:p w:rsidR="002940D6" w:rsidRPr="00FC55A2" w:rsidRDefault="00CB3F3A" w:rsidP="002B3B24">
      <w:pPr>
        <w:rPr>
          <w:rFonts w:ascii="Times New Roman" w:hAnsi="Times New Roman" w:cs="Times New Roman"/>
          <w:color w:val="000000" w:themeColor="text1"/>
          <w:sz w:val="24"/>
          <w:szCs w:val="24"/>
          <w:shd w:val="clear" w:color="auto" w:fill="FFFFFF"/>
        </w:rPr>
      </w:pPr>
      <w:r w:rsidRPr="00FC55A2">
        <w:rPr>
          <w:rFonts w:ascii="Times New Roman" w:hAnsi="Times New Roman" w:cs="Times New Roman"/>
          <w:color w:val="000000" w:themeColor="text1"/>
          <w:sz w:val="24"/>
          <w:szCs w:val="24"/>
          <w:shd w:val="clear" w:color="auto" w:fill="FFFFFF"/>
        </w:rPr>
        <w:t xml:space="preserve">According to Article 6 of Geneva convection, equidistance is the method to be applied unless the parties involved </w:t>
      </w:r>
      <w:r w:rsidR="000A33FB" w:rsidRPr="00FC55A2">
        <w:rPr>
          <w:rFonts w:ascii="Times New Roman" w:hAnsi="Times New Roman" w:cs="Times New Roman"/>
          <w:color w:val="000000" w:themeColor="text1"/>
          <w:sz w:val="24"/>
          <w:szCs w:val="24"/>
          <w:shd w:val="clear" w:color="auto" w:fill="FFFFFF"/>
        </w:rPr>
        <w:t>have agreed on the approach to be used in the del</w:t>
      </w:r>
      <w:r w:rsidR="0077027A" w:rsidRPr="00FC55A2">
        <w:rPr>
          <w:rFonts w:ascii="Times New Roman" w:hAnsi="Times New Roman" w:cs="Times New Roman"/>
          <w:color w:val="000000" w:themeColor="text1"/>
          <w:sz w:val="24"/>
          <w:szCs w:val="24"/>
          <w:shd w:val="clear" w:color="auto" w:fill="FFFFFF"/>
        </w:rPr>
        <w:t>i</w:t>
      </w:r>
      <w:r w:rsidR="000A33FB" w:rsidRPr="00FC55A2">
        <w:rPr>
          <w:rFonts w:ascii="Times New Roman" w:hAnsi="Times New Roman" w:cs="Times New Roman"/>
          <w:color w:val="000000" w:themeColor="text1"/>
          <w:sz w:val="24"/>
          <w:szCs w:val="24"/>
          <w:shd w:val="clear" w:color="auto" w:fill="FFFFFF"/>
        </w:rPr>
        <w:t>mi</w:t>
      </w:r>
      <w:r w:rsidR="0077027A" w:rsidRPr="00FC55A2">
        <w:rPr>
          <w:rFonts w:ascii="Times New Roman" w:hAnsi="Times New Roman" w:cs="Times New Roman"/>
          <w:color w:val="000000" w:themeColor="text1"/>
          <w:sz w:val="24"/>
          <w:szCs w:val="24"/>
          <w:shd w:val="clear" w:color="auto" w:fill="FFFFFF"/>
        </w:rPr>
        <w:t>t</w:t>
      </w:r>
      <w:r w:rsidR="000A33FB" w:rsidRPr="00FC55A2">
        <w:rPr>
          <w:rFonts w:ascii="Times New Roman" w:hAnsi="Times New Roman" w:cs="Times New Roman"/>
          <w:color w:val="000000" w:themeColor="text1"/>
          <w:sz w:val="24"/>
          <w:szCs w:val="24"/>
          <w:shd w:val="clear" w:color="auto" w:fill="FFFFFF"/>
        </w:rPr>
        <w:t xml:space="preserve">ation. Germany did not endorse the Geneva </w:t>
      </w:r>
      <w:r w:rsidR="00FC55A2" w:rsidRPr="00FC55A2">
        <w:rPr>
          <w:rFonts w:ascii="Times New Roman" w:hAnsi="Times New Roman" w:cs="Times New Roman"/>
          <w:color w:val="000000" w:themeColor="text1"/>
          <w:sz w:val="24"/>
          <w:szCs w:val="24"/>
          <w:shd w:val="clear" w:color="auto" w:fill="FFFFFF"/>
        </w:rPr>
        <w:t>Convention</w:t>
      </w:r>
      <w:r w:rsidR="000A33FB" w:rsidRPr="00FC55A2">
        <w:rPr>
          <w:rFonts w:ascii="Times New Roman" w:hAnsi="Times New Roman" w:cs="Times New Roman"/>
          <w:color w:val="000000" w:themeColor="text1"/>
          <w:sz w:val="24"/>
          <w:szCs w:val="24"/>
          <w:shd w:val="clear" w:color="auto" w:fill="FFFFFF"/>
        </w:rPr>
        <w:t>, although it had signed for it while Netherlands</w:t>
      </w:r>
      <w:bookmarkStart w:id="0" w:name="_GoBack"/>
      <w:bookmarkEnd w:id="0"/>
      <w:r w:rsidR="000A33FB" w:rsidRPr="00FC55A2">
        <w:rPr>
          <w:rFonts w:ascii="Times New Roman" w:hAnsi="Times New Roman" w:cs="Times New Roman"/>
          <w:color w:val="000000" w:themeColor="text1"/>
          <w:sz w:val="24"/>
          <w:szCs w:val="24"/>
          <w:shd w:val="clear" w:color="auto" w:fill="FFFFFF"/>
        </w:rPr>
        <w:t xml:space="preserve"> fully supported the Geneva </w:t>
      </w:r>
      <w:r w:rsidR="00FC55A2" w:rsidRPr="00FC55A2">
        <w:rPr>
          <w:rFonts w:ascii="Times New Roman" w:hAnsi="Times New Roman" w:cs="Times New Roman"/>
          <w:color w:val="000000" w:themeColor="text1"/>
          <w:sz w:val="24"/>
          <w:szCs w:val="24"/>
          <w:shd w:val="clear" w:color="auto" w:fill="FFFFFF"/>
        </w:rPr>
        <w:t>Convention</w:t>
      </w:r>
      <w:r w:rsidR="000A33FB" w:rsidRPr="00FC55A2">
        <w:rPr>
          <w:rFonts w:ascii="Times New Roman" w:hAnsi="Times New Roman" w:cs="Times New Roman"/>
          <w:color w:val="000000" w:themeColor="text1"/>
          <w:sz w:val="24"/>
          <w:szCs w:val="24"/>
          <w:shd w:val="clear" w:color="auto" w:fill="FFFFFF"/>
        </w:rPr>
        <w:t xml:space="preserve">. The court found that Germany did not assume the responsibilities that were under the protocol. The court rejected the argument of a treaty between the two parties since it could not agree to the informal way of agreements. Also, the court noticed that Germany approved the treaty and had the option of using the reservation, </w:t>
      </w:r>
      <w:r w:rsidRPr="00FC55A2">
        <w:rPr>
          <w:rFonts w:ascii="Times New Roman" w:hAnsi="Times New Roman" w:cs="Times New Roman"/>
          <w:color w:val="000000" w:themeColor="text1"/>
          <w:sz w:val="24"/>
          <w:szCs w:val="24"/>
          <w:shd w:val="clear" w:color="auto" w:fill="FFFFFF"/>
        </w:rPr>
        <w:t xml:space="preserve">which is in Article 6.The existence of </w:t>
      </w:r>
      <w:r w:rsidR="00FC55A2" w:rsidRPr="00FC55A2">
        <w:rPr>
          <w:rFonts w:ascii="Times New Roman" w:hAnsi="Times New Roman" w:cs="Times New Roman"/>
          <w:color w:val="000000" w:themeColor="text1"/>
          <w:sz w:val="24"/>
          <w:szCs w:val="24"/>
          <w:shd w:val="clear" w:color="auto" w:fill="FFFFFF"/>
        </w:rPr>
        <w:t>estoppels</w:t>
      </w:r>
      <w:r w:rsidRPr="00FC55A2">
        <w:rPr>
          <w:rFonts w:ascii="Times New Roman" w:hAnsi="Times New Roman" w:cs="Times New Roman"/>
          <w:color w:val="000000" w:themeColor="text1"/>
          <w:sz w:val="24"/>
          <w:szCs w:val="24"/>
          <w:shd w:val="clear" w:color="auto" w:fill="FFFFFF"/>
        </w:rPr>
        <w:t xml:space="preserve"> situation, according to the court, would have permitted Article 6 to be obligatory to Germany. The court concluded that Germany did not act to suffer obligations present in Article 6 of the Geneva </w:t>
      </w:r>
      <w:r w:rsidR="00FC55A2" w:rsidRPr="00FC55A2">
        <w:rPr>
          <w:rFonts w:ascii="Times New Roman" w:hAnsi="Times New Roman" w:cs="Times New Roman"/>
          <w:color w:val="000000" w:themeColor="text1"/>
          <w:sz w:val="24"/>
          <w:szCs w:val="24"/>
          <w:shd w:val="clear" w:color="auto" w:fill="FFFFFF"/>
        </w:rPr>
        <w:t>Convention</w:t>
      </w:r>
      <w:r w:rsidRPr="00FC55A2">
        <w:rPr>
          <w:rFonts w:ascii="Times New Roman" w:hAnsi="Times New Roman" w:cs="Times New Roman"/>
          <w:color w:val="000000" w:themeColor="text1"/>
          <w:sz w:val="24"/>
          <w:szCs w:val="24"/>
          <w:shd w:val="clear" w:color="auto" w:fill="FFFFFF"/>
        </w:rPr>
        <w:t>. Thus, the rule of equidistance could not be made compulsory for Germany.</w:t>
      </w:r>
    </w:p>
    <w:p w:rsidR="002940D6" w:rsidRPr="00FC55A2" w:rsidRDefault="00CB3F3A" w:rsidP="002B3B24">
      <w:pPr>
        <w:rPr>
          <w:rFonts w:ascii="Times New Roman" w:hAnsi="Times New Roman" w:cs="Times New Roman"/>
          <w:color w:val="000000" w:themeColor="text1"/>
          <w:sz w:val="24"/>
          <w:szCs w:val="24"/>
          <w:shd w:val="clear" w:color="auto" w:fill="FFFFFF"/>
        </w:rPr>
      </w:pPr>
      <w:r w:rsidRPr="00FC55A2">
        <w:rPr>
          <w:rFonts w:ascii="Times New Roman" w:hAnsi="Times New Roman" w:cs="Times New Roman"/>
          <w:color w:val="000000" w:themeColor="text1"/>
          <w:sz w:val="24"/>
          <w:szCs w:val="24"/>
          <w:shd w:val="clear" w:color="auto" w:fill="FFFFFF"/>
        </w:rPr>
        <w:t>Netherland argued that Article 6 was also reflecting on the known regulations of the international law about continental shelf del</w:t>
      </w:r>
      <w:r w:rsidR="0077027A" w:rsidRPr="00FC55A2">
        <w:rPr>
          <w:rFonts w:ascii="Times New Roman" w:hAnsi="Times New Roman" w:cs="Times New Roman"/>
          <w:color w:val="000000" w:themeColor="text1"/>
          <w:sz w:val="24"/>
          <w:szCs w:val="24"/>
          <w:shd w:val="clear" w:color="auto" w:fill="FFFFFF"/>
        </w:rPr>
        <w:t>i</w:t>
      </w:r>
      <w:r w:rsidRPr="00FC55A2">
        <w:rPr>
          <w:rFonts w:ascii="Times New Roman" w:hAnsi="Times New Roman" w:cs="Times New Roman"/>
          <w:color w:val="000000" w:themeColor="text1"/>
          <w:sz w:val="24"/>
          <w:szCs w:val="24"/>
          <w:shd w:val="clear" w:color="auto" w:fill="FFFFFF"/>
        </w:rPr>
        <w:t>mi</w:t>
      </w:r>
      <w:r w:rsidR="0077027A" w:rsidRPr="00FC55A2">
        <w:rPr>
          <w:rFonts w:ascii="Times New Roman" w:hAnsi="Times New Roman" w:cs="Times New Roman"/>
          <w:color w:val="000000" w:themeColor="text1"/>
          <w:sz w:val="24"/>
          <w:szCs w:val="24"/>
          <w:shd w:val="clear" w:color="auto" w:fill="FFFFFF"/>
        </w:rPr>
        <w:t>t</w:t>
      </w:r>
      <w:r w:rsidRPr="00FC55A2">
        <w:rPr>
          <w:rFonts w:ascii="Times New Roman" w:hAnsi="Times New Roman" w:cs="Times New Roman"/>
          <w:color w:val="000000" w:themeColor="text1"/>
          <w:sz w:val="24"/>
          <w:szCs w:val="24"/>
          <w:shd w:val="clear" w:color="auto" w:fill="FFFFFF"/>
        </w:rPr>
        <w:t xml:space="preserve">ation, which was independent of the convention. Therefore, the argument was that Germany was bound to Article 6 via the customary laws. The court concluded that the equidistance principle in Article 6 was not part of the conventional rules that were in existence when the convention was being developed. </w:t>
      </w:r>
      <w:r w:rsidR="0077027A" w:rsidRPr="00FC55A2">
        <w:rPr>
          <w:rFonts w:ascii="Times New Roman" w:hAnsi="Times New Roman" w:cs="Times New Roman"/>
          <w:color w:val="000000" w:themeColor="text1"/>
          <w:sz w:val="24"/>
          <w:szCs w:val="24"/>
          <w:shd w:val="clear" w:color="auto" w:fill="FFFFFF"/>
        </w:rPr>
        <w:t xml:space="preserve">The court decided that the policy of equidistance was not compulsory for Germany via customary laws or treaties. At the time when </w:t>
      </w:r>
      <w:r w:rsidR="0077027A" w:rsidRPr="00FC55A2">
        <w:rPr>
          <w:rFonts w:ascii="Times New Roman" w:hAnsi="Times New Roman" w:cs="Times New Roman"/>
          <w:color w:val="000000" w:themeColor="text1"/>
          <w:sz w:val="24"/>
          <w:szCs w:val="24"/>
          <w:shd w:val="clear" w:color="auto" w:fill="FFFFFF"/>
        </w:rPr>
        <w:lastRenderedPageBreak/>
        <w:t xml:space="preserve">Germany entered the Geneva </w:t>
      </w:r>
      <w:r w:rsidR="00FC55A2" w:rsidRPr="00FC55A2">
        <w:rPr>
          <w:rFonts w:ascii="Times New Roman" w:hAnsi="Times New Roman" w:cs="Times New Roman"/>
          <w:color w:val="000000" w:themeColor="text1"/>
          <w:sz w:val="24"/>
          <w:szCs w:val="24"/>
          <w:shd w:val="clear" w:color="auto" w:fill="FFFFFF"/>
        </w:rPr>
        <w:t>Convention</w:t>
      </w:r>
      <w:r w:rsidR="0077027A" w:rsidRPr="00FC55A2">
        <w:rPr>
          <w:rFonts w:ascii="Times New Roman" w:hAnsi="Times New Roman" w:cs="Times New Roman"/>
          <w:color w:val="000000" w:themeColor="text1"/>
          <w:sz w:val="24"/>
          <w:szCs w:val="24"/>
          <w:shd w:val="clear" w:color="auto" w:fill="FFFFFF"/>
        </w:rPr>
        <w:t>, the principle had not achieved the status of customary law. Therefore, the court concluded that the equidistance principle was not compulsory in the delimitation process.</w:t>
      </w:r>
    </w:p>
    <w:p w:rsidR="0077027A" w:rsidRPr="00FC55A2" w:rsidRDefault="00CB3F3A" w:rsidP="002B3B24">
      <w:pPr>
        <w:rPr>
          <w:rFonts w:ascii="Times New Roman" w:hAnsi="Times New Roman" w:cs="Times New Roman"/>
          <w:b/>
          <w:bCs/>
          <w:color w:val="000000" w:themeColor="text1"/>
          <w:sz w:val="24"/>
          <w:szCs w:val="24"/>
          <w:shd w:val="clear" w:color="auto" w:fill="FFFFFF"/>
        </w:rPr>
      </w:pPr>
      <w:r w:rsidRPr="00FC55A2">
        <w:rPr>
          <w:rFonts w:ascii="Times New Roman" w:hAnsi="Times New Roman" w:cs="Times New Roman"/>
          <w:b/>
          <w:bCs/>
          <w:color w:val="000000" w:themeColor="text1"/>
          <w:sz w:val="24"/>
          <w:szCs w:val="24"/>
          <w:shd w:val="clear" w:color="auto" w:fill="FFFFFF"/>
        </w:rPr>
        <w:t>Principles</w:t>
      </w:r>
    </w:p>
    <w:p w:rsidR="00A96931" w:rsidRPr="00FC55A2" w:rsidRDefault="00CB3F3A" w:rsidP="002B3B24">
      <w:pPr>
        <w:rPr>
          <w:rFonts w:ascii="Times New Roman" w:hAnsi="Times New Roman" w:cs="Times New Roman"/>
          <w:color w:val="000000" w:themeColor="text1"/>
          <w:sz w:val="24"/>
          <w:szCs w:val="24"/>
          <w:shd w:val="clear" w:color="auto" w:fill="FFFFFF"/>
        </w:rPr>
      </w:pPr>
      <w:r w:rsidRPr="00FC55A2">
        <w:rPr>
          <w:rFonts w:ascii="Times New Roman" w:hAnsi="Times New Roman" w:cs="Times New Roman"/>
          <w:color w:val="000000" w:themeColor="text1"/>
          <w:sz w:val="24"/>
          <w:szCs w:val="24"/>
          <w:shd w:val="clear" w:color="auto" w:fill="FFFFFF"/>
        </w:rPr>
        <w:t>a. The</w:t>
      </w:r>
      <w:r w:rsidR="00FC55A2">
        <w:rPr>
          <w:rFonts w:ascii="Times New Roman" w:hAnsi="Times New Roman" w:cs="Times New Roman"/>
          <w:color w:val="000000" w:themeColor="text1"/>
          <w:sz w:val="24"/>
          <w:szCs w:val="24"/>
          <w:shd w:val="clear" w:color="auto" w:fill="FFFFFF"/>
        </w:rPr>
        <w:t xml:space="preserve"> central tenet</w:t>
      </w:r>
      <w:r w:rsidRPr="00FC55A2">
        <w:rPr>
          <w:rFonts w:ascii="Times New Roman" w:hAnsi="Times New Roman" w:cs="Times New Roman"/>
          <w:color w:val="000000" w:themeColor="text1"/>
          <w:sz w:val="24"/>
          <w:szCs w:val="24"/>
          <w:shd w:val="clear" w:color="auto" w:fill="FFFFFF"/>
        </w:rPr>
        <w:t xml:space="preserve"> of the issue, in this case, was the rule of equidistance contained in the Geneva </w:t>
      </w:r>
      <w:r w:rsidR="00FC55A2" w:rsidRPr="00FC55A2">
        <w:rPr>
          <w:rFonts w:ascii="Times New Roman" w:hAnsi="Times New Roman" w:cs="Times New Roman"/>
          <w:color w:val="000000" w:themeColor="text1"/>
          <w:sz w:val="24"/>
          <w:szCs w:val="24"/>
          <w:shd w:val="clear" w:color="auto" w:fill="FFFFFF"/>
        </w:rPr>
        <w:t>Convention</w:t>
      </w:r>
      <w:r w:rsidRPr="00FC55A2">
        <w:rPr>
          <w:rFonts w:ascii="Times New Roman" w:hAnsi="Times New Roman" w:cs="Times New Roman"/>
          <w:color w:val="000000" w:themeColor="text1"/>
          <w:sz w:val="24"/>
          <w:szCs w:val="24"/>
          <w:shd w:val="clear" w:color="auto" w:fill="FFFFFF"/>
        </w:rPr>
        <w:t xml:space="preserve"> of 1958 versus delimitation concerning the length of the coastal region of the states.</w:t>
      </w:r>
    </w:p>
    <w:p w:rsidR="008B64D3" w:rsidRPr="00FC55A2" w:rsidRDefault="00CB3F3A" w:rsidP="002B3B24">
      <w:pPr>
        <w:rPr>
          <w:rFonts w:ascii="Times New Roman" w:hAnsi="Times New Roman" w:cs="Times New Roman"/>
          <w:color w:val="000000" w:themeColor="text1"/>
          <w:sz w:val="24"/>
          <w:szCs w:val="24"/>
          <w:shd w:val="clear" w:color="auto" w:fill="FFFFFF"/>
        </w:rPr>
      </w:pPr>
      <w:r w:rsidRPr="00FC55A2">
        <w:rPr>
          <w:rFonts w:ascii="Times New Roman" w:hAnsi="Times New Roman" w:cs="Times New Roman"/>
          <w:color w:val="000000" w:themeColor="text1"/>
          <w:sz w:val="24"/>
          <w:szCs w:val="24"/>
          <w:shd w:val="clear" w:color="auto" w:fill="FFFFFF"/>
        </w:rPr>
        <w:t>b. The delimitation process is followed conferring to the customary laws but putting into consideration the International law court's decisions.</w:t>
      </w:r>
    </w:p>
    <w:p w:rsidR="008B64D3" w:rsidRPr="00FC55A2" w:rsidRDefault="00CB3F3A" w:rsidP="002B3B24">
      <w:pPr>
        <w:rPr>
          <w:rFonts w:ascii="Times New Roman" w:hAnsi="Times New Roman" w:cs="Times New Roman"/>
          <w:b/>
          <w:bCs/>
          <w:color w:val="000000" w:themeColor="text1"/>
          <w:sz w:val="24"/>
          <w:szCs w:val="24"/>
          <w:shd w:val="clear" w:color="auto" w:fill="FFFFFF"/>
        </w:rPr>
      </w:pPr>
      <w:r w:rsidRPr="00FC55A2">
        <w:rPr>
          <w:rFonts w:ascii="Times New Roman" w:hAnsi="Times New Roman" w:cs="Times New Roman"/>
          <w:b/>
          <w:bCs/>
          <w:color w:val="000000" w:themeColor="text1"/>
          <w:sz w:val="24"/>
          <w:szCs w:val="24"/>
          <w:shd w:val="clear" w:color="auto" w:fill="FFFFFF"/>
        </w:rPr>
        <w:t>Conclusions</w:t>
      </w:r>
    </w:p>
    <w:p w:rsidR="008B64D3" w:rsidRPr="00FC55A2" w:rsidRDefault="00CB3F3A" w:rsidP="002B3B24">
      <w:pPr>
        <w:rPr>
          <w:rFonts w:ascii="Times New Roman" w:hAnsi="Times New Roman" w:cs="Times New Roman"/>
          <w:color w:val="000000" w:themeColor="text1"/>
          <w:sz w:val="24"/>
          <w:szCs w:val="24"/>
          <w:shd w:val="clear" w:color="auto" w:fill="FFFFFF"/>
        </w:rPr>
      </w:pPr>
      <w:r w:rsidRPr="00FC55A2">
        <w:rPr>
          <w:rFonts w:ascii="Times New Roman" w:hAnsi="Times New Roman" w:cs="Times New Roman"/>
          <w:color w:val="000000" w:themeColor="text1"/>
          <w:sz w:val="24"/>
          <w:szCs w:val="24"/>
          <w:shd w:val="clear" w:color="auto" w:fill="FFFFFF"/>
        </w:rPr>
        <w:t xml:space="preserve">The principle of equidistance is confined in the Geneva </w:t>
      </w:r>
      <w:r w:rsidR="00FC55A2" w:rsidRPr="00FC55A2">
        <w:rPr>
          <w:rFonts w:ascii="Times New Roman" w:hAnsi="Times New Roman" w:cs="Times New Roman"/>
          <w:color w:val="000000" w:themeColor="text1"/>
          <w:sz w:val="24"/>
          <w:szCs w:val="24"/>
          <w:shd w:val="clear" w:color="auto" w:fill="FFFFFF"/>
        </w:rPr>
        <w:t>Convention</w:t>
      </w:r>
      <w:r w:rsidRPr="00FC55A2">
        <w:rPr>
          <w:rFonts w:ascii="Times New Roman" w:hAnsi="Times New Roman" w:cs="Times New Roman"/>
          <w:color w:val="000000" w:themeColor="text1"/>
          <w:sz w:val="24"/>
          <w:szCs w:val="24"/>
          <w:shd w:val="clear" w:color="auto" w:fill="FFFFFF"/>
        </w:rPr>
        <w:t xml:space="preserve"> Article 6, which was developed in 1958. This law is used by the international law court to solve conflicts about the</w:t>
      </w:r>
      <w:r w:rsidR="00A045A7" w:rsidRPr="00FC55A2">
        <w:rPr>
          <w:rFonts w:ascii="Times New Roman" w:hAnsi="Times New Roman" w:cs="Times New Roman"/>
          <w:color w:val="000000" w:themeColor="text1"/>
          <w:sz w:val="24"/>
          <w:szCs w:val="24"/>
          <w:shd w:val="clear" w:color="auto" w:fill="FFFFFF"/>
        </w:rPr>
        <w:t xml:space="preserve"> shore boundaries between different nations. This law is relevant to some </w:t>
      </w:r>
      <w:r w:rsidR="00FC55A2" w:rsidRPr="00FC55A2">
        <w:rPr>
          <w:rFonts w:ascii="Times New Roman" w:hAnsi="Times New Roman" w:cs="Times New Roman"/>
          <w:color w:val="000000" w:themeColor="text1"/>
          <w:sz w:val="24"/>
          <w:szCs w:val="24"/>
          <w:shd w:val="clear" w:color="auto" w:fill="FFFFFF"/>
        </w:rPr>
        <w:t>countries;</w:t>
      </w:r>
      <w:r w:rsidR="00A045A7" w:rsidRPr="00FC55A2">
        <w:rPr>
          <w:rFonts w:ascii="Times New Roman" w:hAnsi="Times New Roman" w:cs="Times New Roman"/>
          <w:color w:val="000000" w:themeColor="text1"/>
          <w:sz w:val="24"/>
          <w:szCs w:val="24"/>
          <w:shd w:val="clear" w:color="auto" w:fill="FFFFFF"/>
        </w:rPr>
        <w:t xml:space="preserve"> while others are not affected by it makes it challenging to solve boundary issues. </w:t>
      </w:r>
      <w:r w:rsidR="00CD5D53" w:rsidRPr="00FC55A2">
        <w:rPr>
          <w:rFonts w:ascii="Times New Roman" w:hAnsi="Times New Roman" w:cs="Times New Roman"/>
          <w:color w:val="000000" w:themeColor="text1"/>
          <w:sz w:val="24"/>
          <w:szCs w:val="24"/>
          <w:shd w:val="clear" w:color="auto" w:fill="FFFFFF"/>
        </w:rPr>
        <w:t xml:space="preserve">The act of sea delimitation has developed over time with several cases that played a significant role, for example, in such instances as Eritrea/Yemen (1999), Cameroon/Nigeria (2002), and Barbados/Trinidad and Tobago (2006). </w:t>
      </w:r>
      <w:r w:rsidR="00BD0567" w:rsidRPr="00FC55A2">
        <w:rPr>
          <w:rFonts w:ascii="Times New Roman" w:hAnsi="Times New Roman" w:cs="Times New Roman"/>
          <w:color w:val="000000" w:themeColor="text1"/>
          <w:sz w:val="24"/>
          <w:szCs w:val="24"/>
          <w:shd w:val="clear" w:color="auto" w:fill="FFFFFF"/>
        </w:rPr>
        <w:t>Equidistance has been proved to be the supreme law used in maritime delimitation due to the rate of consistency achieved by the international law courts in solving the boundary conflicts between nations. The use of this principle is relevant up to date.</w:t>
      </w:r>
    </w:p>
    <w:p w:rsidR="00BD0567" w:rsidRPr="00FC55A2" w:rsidRDefault="00BD0567" w:rsidP="002B3B24">
      <w:pPr>
        <w:rPr>
          <w:rFonts w:ascii="Times New Roman" w:hAnsi="Times New Roman" w:cs="Times New Roman"/>
          <w:color w:val="000000" w:themeColor="text1"/>
          <w:sz w:val="24"/>
          <w:szCs w:val="24"/>
          <w:shd w:val="clear" w:color="auto" w:fill="FFFFFF"/>
        </w:rPr>
      </w:pPr>
    </w:p>
    <w:p w:rsidR="00BD0567" w:rsidRPr="00FC55A2" w:rsidRDefault="00CB3F3A" w:rsidP="002B3B24">
      <w:pPr>
        <w:rPr>
          <w:rFonts w:ascii="Times New Roman" w:hAnsi="Times New Roman" w:cs="Times New Roman"/>
          <w:b/>
          <w:bCs/>
          <w:color w:val="000000" w:themeColor="text1"/>
          <w:sz w:val="24"/>
          <w:szCs w:val="24"/>
          <w:shd w:val="clear" w:color="auto" w:fill="FFFFFF"/>
        </w:rPr>
      </w:pPr>
      <w:r w:rsidRPr="00FC55A2">
        <w:rPr>
          <w:rFonts w:ascii="Times New Roman" w:hAnsi="Times New Roman" w:cs="Times New Roman"/>
          <w:b/>
          <w:bCs/>
          <w:color w:val="000000" w:themeColor="text1"/>
          <w:sz w:val="24"/>
          <w:szCs w:val="24"/>
          <w:shd w:val="clear" w:color="auto" w:fill="FFFFFF"/>
        </w:rPr>
        <w:t>Bibliography</w:t>
      </w:r>
    </w:p>
    <w:p w:rsidR="00DA06B9" w:rsidRPr="00FC55A2" w:rsidRDefault="00CB3F3A" w:rsidP="00DA06B9">
      <w:pPr>
        <w:rPr>
          <w:rFonts w:ascii="Times New Roman" w:hAnsi="Times New Roman" w:cs="Times New Roman"/>
          <w:color w:val="000000" w:themeColor="text1"/>
          <w:sz w:val="24"/>
          <w:szCs w:val="24"/>
          <w:shd w:val="clear" w:color="auto" w:fill="FFFFFF"/>
        </w:rPr>
      </w:pPr>
      <w:r w:rsidRPr="00FC55A2">
        <w:rPr>
          <w:rFonts w:ascii="Times New Roman" w:hAnsi="Times New Roman" w:cs="Times New Roman"/>
          <w:color w:val="000000" w:themeColor="text1"/>
          <w:sz w:val="24"/>
          <w:szCs w:val="24"/>
          <w:shd w:val="clear" w:color="auto" w:fill="FFFFFF"/>
        </w:rPr>
        <w:t>North Sea continental shelf (federal republic of Germany/Netherlands) (1969</w:t>
      </w:r>
      <w:proofErr w:type="gramStart"/>
      <w:r w:rsidRPr="00FC55A2">
        <w:rPr>
          <w:rFonts w:ascii="Times New Roman" w:hAnsi="Times New Roman" w:cs="Times New Roman"/>
          <w:color w:val="000000" w:themeColor="text1"/>
          <w:sz w:val="24"/>
          <w:szCs w:val="24"/>
          <w:shd w:val="clear" w:color="auto" w:fill="FFFFFF"/>
        </w:rPr>
        <w:t>)</w:t>
      </w:r>
      <w:proofErr w:type="gramEnd"/>
      <w:hyperlink r:id="rId5" w:history="1">
        <w:r w:rsidRPr="00FC55A2">
          <w:rPr>
            <w:rStyle w:val="Hyperlink"/>
            <w:rFonts w:ascii="Times New Roman" w:hAnsi="Times New Roman" w:cs="Times New Roman"/>
            <w:color w:val="000000" w:themeColor="text1"/>
            <w:sz w:val="24"/>
            <w:szCs w:val="24"/>
            <w:u w:val="none"/>
          </w:rPr>
          <w:t>https://www.icj-cij.org/en/case/52</w:t>
        </w:r>
      </w:hyperlink>
    </w:p>
    <w:p w:rsidR="00DA06B9" w:rsidRPr="00FC55A2" w:rsidRDefault="00DA06B9" w:rsidP="00DA06B9">
      <w:pPr>
        <w:rPr>
          <w:rFonts w:ascii="Times New Roman" w:hAnsi="Times New Roman" w:cs="Times New Roman"/>
          <w:color w:val="000000" w:themeColor="text1"/>
          <w:sz w:val="24"/>
          <w:szCs w:val="24"/>
          <w:shd w:val="clear" w:color="auto" w:fill="FFFFFF"/>
        </w:rPr>
      </w:pPr>
    </w:p>
    <w:p w:rsidR="00DA06B9" w:rsidRPr="00FC55A2" w:rsidRDefault="00CB3F3A" w:rsidP="00DA06B9">
      <w:pPr>
        <w:rPr>
          <w:rFonts w:ascii="Times New Roman" w:hAnsi="Times New Roman" w:cs="Times New Roman"/>
          <w:color w:val="000000" w:themeColor="text1"/>
          <w:sz w:val="24"/>
          <w:szCs w:val="24"/>
        </w:rPr>
      </w:pPr>
      <w:r w:rsidRPr="00FC55A2">
        <w:rPr>
          <w:rFonts w:ascii="Times New Roman" w:hAnsi="Times New Roman" w:cs="Times New Roman"/>
          <w:color w:val="000000" w:themeColor="text1"/>
          <w:sz w:val="24"/>
          <w:szCs w:val="24"/>
        </w:rPr>
        <w:t xml:space="preserve">North Sea continental shelf cases (1969) </w:t>
      </w:r>
      <w:hyperlink r:id="rId6" w:history="1">
        <w:r w:rsidRPr="00FC55A2">
          <w:rPr>
            <w:rStyle w:val="Hyperlink"/>
            <w:rFonts w:ascii="Times New Roman" w:hAnsi="Times New Roman" w:cs="Times New Roman"/>
            <w:color w:val="000000" w:themeColor="text1"/>
            <w:sz w:val="24"/>
            <w:szCs w:val="24"/>
            <w:u w:val="none"/>
          </w:rPr>
          <w:t>https://ruwanthikagunaratne.wordpress.com/2014/02/28/north-sea-continental-shelf-cases-summary/</w:t>
        </w:r>
      </w:hyperlink>
    </w:p>
    <w:p w:rsidR="00DA06B9" w:rsidRPr="00FC55A2" w:rsidRDefault="00DA06B9" w:rsidP="00DA06B9">
      <w:pPr>
        <w:rPr>
          <w:rFonts w:ascii="Times New Roman" w:hAnsi="Times New Roman" w:cs="Times New Roman"/>
          <w:color w:val="000000" w:themeColor="text1"/>
          <w:sz w:val="24"/>
          <w:szCs w:val="24"/>
        </w:rPr>
      </w:pPr>
    </w:p>
    <w:p w:rsidR="00DA06B9" w:rsidRPr="00FC55A2" w:rsidRDefault="00CB3F3A" w:rsidP="00DA06B9">
      <w:pPr>
        <w:widowControl w:val="0"/>
        <w:autoSpaceDE w:val="0"/>
        <w:autoSpaceDN w:val="0"/>
        <w:adjustRightInd w:val="0"/>
        <w:rPr>
          <w:rFonts w:ascii="Times New Roman" w:hAnsi="Times New Roman" w:cs="Times New Roman"/>
          <w:sz w:val="24"/>
          <w:szCs w:val="24"/>
        </w:rPr>
      </w:pPr>
      <w:r w:rsidRPr="00FC55A2">
        <w:rPr>
          <w:rFonts w:ascii="Times New Roman" w:hAnsi="Times New Roman" w:cs="Times New Roman"/>
          <w:sz w:val="24"/>
          <w:szCs w:val="24"/>
        </w:rPr>
        <w:t>Submitted</w:t>
      </w:r>
    </w:p>
    <w:p w:rsidR="00DA06B9" w:rsidRPr="00FC55A2" w:rsidRDefault="00DA06B9" w:rsidP="00DA06B9">
      <w:pPr>
        <w:rPr>
          <w:rFonts w:ascii="Times New Roman" w:hAnsi="Times New Roman" w:cs="Times New Roman"/>
          <w:sz w:val="24"/>
          <w:szCs w:val="24"/>
        </w:rPr>
      </w:pPr>
    </w:p>
    <w:p w:rsidR="00DA06B9" w:rsidRPr="00FC55A2" w:rsidRDefault="00CB3F3A" w:rsidP="00DA06B9">
      <w:pPr>
        <w:rPr>
          <w:rFonts w:ascii="Times New Roman" w:hAnsi="Times New Roman" w:cs="Times New Roman"/>
          <w:sz w:val="24"/>
          <w:szCs w:val="24"/>
        </w:rPr>
      </w:pPr>
      <w:r w:rsidRPr="00FC55A2">
        <w:rPr>
          <w:rFonts w:ascii="Times New Roman" w:hAnsi="Times New Roman" w:cs="Times New Roman"/>
          <w:sz w:val="24"/>
          <w:szCs w:val="24"/>
        </w:rPr>
        <w:t>Name and date</w:t>
      </w:r>
    </w:p>
    <w:p w:rsidR="00BD0567" w:rsidRPr="00FC55A2" w:rsidRDefault="00BD0567" w:rsidP="002B3B24">
      <w:pPr>
        <w:rPr>
          <w:rFonts w:ascii="Times New Roman" w:hAnsi="Times New Roman" w:cs="Times New Roman"/>
          <w:b/>
          <w:bCs/>
          <w:color w:val="000000" w:themeColor="text1"/>
          <w:sz w:val="24"/>
          <w:szCs w:val="24"/>
          <w:shd w:val="clear" w:color="auto" w:fill="FFFFFF"/>
        </w:rPr>
      </w:pPr>
    </w:p>
    <w:sectPr w:rsidR="00BD0567" w:rsidRPr="00FC55A2" w:rsidSect="009441B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336BC"/>
    <w:multiLevelType w:val="hybridMultilevel"/>
    <w:tmpl w:val="7AF0B834"/>
    <w:lvl w:ilvl="0" w:tplc="56E62084">
      <w:start w:val="1"/>
      <w:numFmt w:val="lowerLetter"/>
      <w:lvlText w:val="%1."/>
      <w:lvlJc w:val="left"/>
      <w:pPr>
        <w:ind w:left="720" w:hanging="360"/>
      </w:pPr>
      <w:rPr>
        <w:rFonts w:hint="default"/>
      </w:rPr>
    </w:lvl>
    <w:lvl w:ilvl="1" w:tplc="E23EE6EC" w:tentative="1">
      <w:start w:val="1"/>
      <w:numFmt w:val="lowerLetter"/>
      <w:lvlText w:val="%2."/>
      <w:lvlJc w:val="left"/>
      <w:pPr>
        <w:ind w:left="1440" w:hanging="360"/>
      </w:pPr>
    </w:lvl>
    <w:lvl w:ilvl="2" w:tplc="71309B7E" w:tentative="1">
      <w:start w:val="1"/>
      <w:numFmt w:val="lowerRoman"/>
      <w:lvlText w:val="%3."/>
      <w:lvlJc w:val="right"/>
      <w:pPr>
        <w:ind w:left="2160" w:hanging="180"/>
      </w:pPr>
    </w:lvl>
    <w:lvl w:ilvl="3" w:tplc="B79C4A14" w:tentative="1">
      <w:start w:val="1"/>
      <w:numFmt w:val="decimal"/>
      <w:lvlText w:val="%4."/>
      <w:lvlJc w:val="left"/>
      <w:pPr>
        <w:ind w:left="2880" w:hanging="360"/>
      </w:pPr>
    </w:lvl>
    <w:lvl w:ilvl="4" w:tplc="79FE6CEE" w:tentative="1">
      <w:start w:val="1"/>
      <w:numFmt w:val="lowerLetter"/>
      <w:lvlText w:val="%5."/>
      <w:lvlJc w:val="left"/>
      <w:pPr>
        <w:ind w:left="3600" w:hanging="360"/>
      </w:pPr>
    </w:lvl>
    <w:lvl w:ilvl="5" w:tplc="4F0E3ADA" w:tentative="1">
      <w:start w:val="1"/>
      <w:numFmt w:val="lowerRoman"/>
      <w:lvlText w:val="%6."/>
      <w:lvlJc w:val="right"/>
      <w:pPr>
        <w:ind w:left="4320" w:hanging="180"/>
      </w:pPr>
    </w:lvl>
    <w:lvl w:ilvl="6" w:tplc="4818483C" w:tentative="1">
      <w:start w:val="1"/>
      <w:numFmt w:val="decimal"/>
      <w:lvlText w:val="%7."/>
      <w:lvlJc w:val="left"/>
      <w:pPr>
        <w:ind w:left="5040" w:hanging="360"/>
      </w:pPr>
    </w:lvl>
    <w:lvl w:ilvl="7" w:tplc="7EAAC14E" w:tentative="1">
      <w:start w:val="1"/>
      <w:numFmt w:val="lowerLetter"/>
      <w:lvlText w:val="%8."/>
      <w:lvlJc w:val="left"/>
      <w:pPr>
        <w:ind w:left="5760" w:hanging="360"/>
      </w:pPr>
    </w:lvl>
    <w:lvl w:ilvl="8" w:tplc="7F0EDD38" w:tentative="1">
      <w:start w:val="1"/>
      <w:numFmt w:val="lowerRoman"/>
      <w:lvlText w:val="%9."/>
      <w:lvlJc w:val="right"/>
      <w:pPr>
        <w:ind w:left="6480" w:hanging="180"/>
      </w:pPr>
    </w:lvl>
  </w:abstractNum>
  <w:abstractNum w:abstractNumId="1">
    <w:nsid w:val="12335353"/>
    <w:multiLevelType w:val="hybridMultilevel"/>
    <w:tmpl w:val="51A241D8"/>
    <w:lvl w:ilvl="0" w:tplc="FF889E82">
      <w:start w:val="1"/>
      <w:numFmt w:val="lowerLetter"/>
      <w:lvlText w:val="%1."/>
      <w:lvlJc w:val="left"/>
      <w:pPr>
        <w:ind w:left="720" w:hanging="360"/>
      </w:pPr>
      <w:rPr>
        <w:rFonts w:hint="default"/>
      </w:rPr>
    </w:lvl>
    <w:lvl w:ilvl="1" w:tplc="8E7C9646" w:tentative="1">
      <w:start w:val="1"/>
      <w:numFmt w:val="lowerLetter"/>
      <w:lvlText w:val="%2."/>
      <w:lvlJc w:val="left"/>
      <w:pPr>
        <w:ind w:left="1440" w:hanging="360"/>
      </w:pPr>
    </w:lvl>
    <w:lvl w:ilvl="2" w:tplc="A77481EA" w:tentative="1">
      <w:start w:val="1"/>
      <w:numFmt w:val="lowerRoman"/>
      <w:lvlText w:val="%3."/>
      <w:lvlJc w:val="right"/>
      <w:pPr>
        <w:ind w:left="2160" w:hanging="180"/>
      </w:pPr>
    </w:lvl>
    <w:lvl w:ilvl="3" w:tplc="5FEC4D24" w:tentative="1">
      <w:start w:val="1"/>
      <w:numFmt w:val="decimal"/>
      <w:lvlText w:val="%4."/>
      <w:lvlJc w:val="left"/>
      <w:pPr>
        <w:ind w:left="2880" w:hanging="360"/>
      </w:pPr>
    </w:lvl>
    <w:lvl w:ilvl="4" w:tplc="C7A80926" w:tentative="1">
      <w:start w:val="1"/>
      <w:numFmt w:val="lowerLetter"/>
      <w:lvlText w:val="%5."/>
      <w:lvlJc w:val="left"/>
      <w:pPr>
        <w:ind w:left="3600" w:hanging="360"/>
      </w:pPr>
    </w:lvl>
    <w:lvl w:ilvl="5" w:tplc="3EB8AE32" w:tentative="1">
      <w:start w:val="1"/>
      <w:numFmt w:val="lowerRoman"/>
      <w:lvlText w:val="%6."/>
      <w:lvlJc w:val="right"/>
      <w:pPr>
        <w:ind w:left="4320" w:hanging="180"/>
      </w:pPr>
    </w:lvl>
    <w:lvl w:ilvl="6" w:tplc="4662936E" w:tentative="1">
      <w:start w:val="1"/>
      <w:numFmt w:val="decimal"/>
      <w:lvlText w:val="%7."/>
      <w:lvlJc w:val="left"/>
      <w:pPr>
        <w:ind w:left="5040" w:hanging="360"/>
      </w:pPr>
    </w:lvl>
    <w:lvl w:ilvl="7" w:tplc="502E6880" w:tentative="1">
      <w:start w:val="1"/>
      <w:numFmt w:val="lowerLetter"/>
      <w:lvlText w:val="%8."/>
      <w:lvlJc w:val="left"/>
      <w:pPr>
        <w:ind w:left="5760" w:hanging="360"/>
      </w:pPr>
    </w:lvl>
    <w:lvl w:ilvl="8" w:tplc="6C22CBA0" w:tentative="1">
      <w:start w:val="1"/>
      <w:numFmt w:val="lowerRoman"/>
      <w:lvlText w:val="%9."/>
      <w:lvlJc w:val="right"/>
      <w:pPr>
        <w:ind w:left="6480" w:hanging="180"/>
      </w:pPr>
    </w:lvl>
  </w:abstractNum>
  <w:abstractNum w:abstractNumId="2">
    <w:nsid w:val="37E342B7"/>
    <w:multiLevelType w:val="hybridMultilevel"/>
    <w:tmpl w:val="934C4306"/>
    <w:lvl w:ilvl="0" w:tplc="8634058E">
      <w:start w:val="1"/>
      <w:numFmt w:val="lowerLetter"/>
      <w:lvlText w:val="%1."/>
      <w:lvlJc w:val="left"/>
      <w:pPr>
        <w:ind w:left="720" w:hanging="360"/>
      </w:pPr>
      <w:rPr>
        <w:rFonts w:hint="default"/>
      </w:rPr>
    </w:lvl>
    <w:lvl w:ilvl="1" w:tplc="539E4B9E" w:tentative="1">
      <w:start w:val="1"/>
      <w:numFmt w:val="lowerLetter"/>
      <w:lvlText w:val="%2."/>
      <w:lvlJc w:val="left"/>
      <w:pPr>
        <w:ind w:left="1440" w:hanging="360"/>
      </w:pPr>
    </w:lvl>
    <w:lvl w:ilvl="2" w:tplc="4C4EB962" w:tentative="1">
      <w:start w:val="1"/>
      <w:numFmt w:val="lowerRoman"/>
      <w:lvlText w:val="%3."/>
      <w:lvlJc w:val="right"/>
      <w:pPr>
        <w:ind w:left="2160" w:hanging="180"/>
      </w:pPr>
    </w:lvl>
    <w:lvl w:ilvl="3" w:tplc="8A00B2EE" w:tentative="1">
      <w:start w:val="1"/>
      <w:numFmt w:val="decimal"/>
      <w:lvlText w:val="%4."/>
      <w:lvlJc w:val="left"/>
      <w:pPr>
        <w:ind w:left="2880" w:hanging="360"/>
      </w:pPr>
    </w:lvl>
    <w:lvl w:ilvl="4" w:tplc="0A52270E" w:tentative="1">
      <w:start w:val="1"/>
      <w:numFmt w:val="lowerLetter"/>
      <w:lvlText w:val="%5."/>
      <w:lvlJc w:val="left"/>
      <w:pPr>
        <w:ind w:left="3600" w:hanging="360"/>
      </w:pPr>
    </w:lvl>
    <w:lvl w:ilvl="5" w:tplc="AD9A7562" w:tentative="1">
      <w:start w:val="1"/>
      <w:numFmt w:val="lowerRoman"/>
      <w:lvlText w:val="%6."/>
      <w:lvlJc w:val="right"/>
      <w:pPr>
        <w:ind w:left="4320" w:hanging="180"/>
      </w:pPr>
    </w:lvl>
    <w:lvl w:ilvl="6" w:tplc="BBE2843C" w:tentative="1">
      <w:start w:val="1"/>
      <w:numFmt w:val="decimal"/>
      <w:lvlText w:val="%7."/>
      <w:lvlJc w:val="left"/>
      <w:pPr>
        <w:ind w:left="5040" w:hanging="360"/>
      </w:pPr>
    </w:lvl>
    <w:lvl w:ilvl="7" w:tplc="79148A1A" w:tentative="1">
      <w:start w:val="1"/>
      <w:numFmt w:val="lowerLetter"/>
      <w:lvlText w:val="%8."/>
      <w:lvlJc w:val="left"/>
      <w:pPr>
        <w:ind w:left="5760" w:hanging="360"/>
      </w:pPr>
    </w:lvl>
    <w:lvl w:ilvl="8" w:tplc="9EBC0812" w:tentative="1">
      <w:start w:val="1"/>
      <w:numFmt w:val="lowerRoman"/>
      <w:lvlText w:val="%9."/>
      <w:lvlJc w:val="right"/>
      <w:pPr>
        <w:ind w:left="6480" w:hanging="180"/>
      </w:pPr>
    </w:lvl>
  </w:abstractNum>
  <w:abstractNum w:abstractNumId="3">
    <w:nsid w:val="3CB35255"/>
    <w:multiLevelType w:val="hybridMultilevel"/>
    <w:tmpl w:val="4C0851D4"/>
    <w:lvl w:ilvl="0" w:tplc="956CDC4C">
      <w:start w:val="1"/>
      <w:numFmt w:val="lowerLetter"/>
      <w:lvlText w:val="%1."/>
      <w:lvlJc w:val="left"/>
      <w:pPr>
        <w:ind w:left="720" w:hanging="360"/>
      </w:pPr>
      <w:rPr>
        <w:rFonts w:hint="default"/>
      </w:rPr>
    </w:lvl>
    <w:lvl w:ilvl="1" w:tplc="05DE8D38" w:tentative="1">
      <w:start w:val="1"/>
      <w:numFmt w:val="lowerLetter"/>
      <w:lvlText w:val="%2."/>
      <w:lvlJc w:val="left"/>
      <w:pPr>
        <w:ind w:left="1440" w:hanging="360"/>
      </w:pPr>
    </w:lvl>
    <w:lvl w:ilvl="2" w:tplc="0FE4F38E" w:tentative="1">
      <w:start w:val="1"/>
      <w:numFmt w:val="lowerRoman"/>
      <w:lvlText w:val="%3."/>
      <w:lvlJc w:val="right"/>
      <w:pPr>
        <w:ind w:left="2160" w:hanging="180"/>
      </w:pPr>
    </w:lvl>
    <w:lvl w:ilvl="3" w:tplc="3EB4D53E" w:tentative="1">
      <w:start w:val="1"/>
      <w:numFmt w:val="decimal"/>
      <w:lvlText w:val="%4."/>
      <w:lvlJc w:val="left"/>
      <w:pPr>
        <w:ind w:left="2880" w:hanging="360"/>
      </w:pPr>
    </w:lvl>
    <w:lvl w:ilvl="4" w:tplc="6C045C76" w:tentative="1">
      <w:start w:val="1"/>
      <w:numFmt w:val="lowerLetter"/>
      <w:lvlText w:val="%5."/>
      <w:lvlJc w:val="left"/>
      <w:pPr>
        <w:ind w:left="3600" w:hanging="360"/>
      </w:pPr>
    </w:lvl>
    <w:lvl w:ilvl="5" w:tplc="A82C2250" w:tentative="1">
      <w:start w:val="1"/>
      <w:numFmt w:val="lowerRoman"/>
      <w:lvlText w:val="%6."/>
      <w:lvlJc w:val="right"/>
      <w:pPr>
        <w:ind w:left="4320" w:hanging="180"/>
      </w:pPr>
    </w:lvl>
    <w:lvl w:ilvl="6" w:tplc="C3E2526E" w:tentative="1">
      <w:start w:val="1"/>
      <w:numFmt w:val="decimal"/>
      <w:lvlText w:val="%7."/>
      <w:lvlJc w:val="left"/>
      <w:pPr>
        <w:ind w:left="5040" w:hanging="360"/>
      </w:pPr>
    </w:lvl>
    <w:lvl w:ilvl="7" w:tplc="A5D45376" w:tentative="1">
      <w:start w:val="1"/>
      <w:numFmt w:val="lowerLetter"/>
      <w:lvlText w:val="%8."/>
      <w:lvlJc w:val="left"/>
      <w:pPr>
        <w:ind w:left="5760" w:hanging="360"/>
      </w:pPr>
    </w:lvl>
    <w:lvl w:ilvl="8" w:tplc="58144EB6" w:tentative="1">
      <w:start w:val="1"/>
      <w:numFmt w:val="lowerRoman"/>
      <w:lvlText w:val="%9."/>
      <w:lvlJc w:val="right"/>
      <w:pPr>
        <w:ind w:left="6480" w:hanging="180"/>
      </w:pPr>
    </w:lvl>
  </w:abstractNum>
  <w:abstractNum w:abstractNumId="4">
    <w:nsid w:val="543A0005"/>
    <w:multiLevelType w:val="hybridMultilevel"/>
    <w:tmpl w:val="9D2E6E92"/>
    <w:lvl w:ilvl="0" w:tplc="18A03A0C">
      <w:start w:val="1"/>
      <w:numFmt w:val="lowerLetter"/>
      <w:lvlText w:val="%1."/>
      <w:lvlJc w:val="left"/>
      <w:pPr>
        <w:ind w:left="720" w:hanging="360"/>
      </w:pPr>
      <w:rPr>
        <w:rFonts w:hint="default"/>
      </w:rPr>
    </w:lvl>
    <w:lvl w:ilvl="1" w:tplc="3D44BD84" w:tentative="1">
      <w:start w:val="1"/>
      <w:numFmt w:val="lowerLetter"/>
      <w:lvlText w:val="%2."/>
      <w:lvlJc w:val="left"/>
      <w:pPr>
        <w:ind w:left="1440" w:hanging="360"/>
      </w:pPr>
    </w:lvl>
    <w:lvl w:ilvl="2" w:tplc="20B8BB96" w:tentative="1">
      <w:start w:val="1"/>
      <w:numFmt w:val="lowerRoman"/>
      <w:lvlText w:val="%3."/>
      <w:lvlJc w:val="right"/>
      <w:pPr>
        <w:ind w:left="2160" w:hanging="180"/>
      </w:pPr>
    </w:lvl>
    <w:lvl w:ilvl="3" w:tplc="0F1E3D24" w:tentative="1">
      <w:start w:val="1"/>
      <w:numFmt w:val="decimal"/>
      <w:lvlText w:val="%4."/>
      <w:lvlJc w:val="left"/>
      <w:pPr>
        <w:ind w:left="2880" w:hanging="360"/>
      </w:pPr>
    </w:lvl>
    <w:lvl w:ilvl="4" w:tplc="0B74E15A" w:tentative="1">
      <w:start w:val="1"/>
      <w:numFmt w:val="lowerLetter"/>
      <w:lvlText w:val="%5."/>
      <w:lvlJc w:val="left"/>
      <w:pPr>
        <w:ind w:left="3600" w:hanging="360"/>
      </w:pPr>
    </w:lvl>
    <w:lvl w:ilvl="5" w:tplc="FB0E12E8" w:tentative="1">
      <w:start w:val="1"/>
      <w:numFmt w:val="lowerRoman"/>
      <w:lvlText w:val="%6."/>
      <w:lvlJc w:val="right"/>
      <w:pPr>
        <w:ind w:left="4320" w:hanging="180"/>
      </w:pPr>
    </w:lvl>
    <w:lvl w:ilvl="6" w:tplc="998ACCE0" w:tentative="1">
      <w:start w:val="1"/>
      <w:numFmt w:val="decimal"/>
      <w:lvlText w:val="%7."/>
      <w:lvlJc w:val="left"/>
      <w:pPr>
        <w:ind w:left="5040" w:hanging="360"/>
      </w:pPr>
    </w:lvl>
    <w:lvl w:ilvl="7" w:tplc="424A9B4C" w:tentative="1">
      <w:start w:val="1"/>
      <w:numFmt w:val="lowerLetter"/>
      <w:lvlText w:val="%8."/>
      <w:lvlJc w:val="left"/>
      <w:pPr>
        <w:ind w:left="5760" w:hanging="360"/>
      </w:pPr>
    </w:lvl>
    <w:lvl w:ilvl="8" w:tplc="4B72A378" w:tentative="1">
      <w:start w:val="1"/>
      <w:numFmt w:val="lowerRoman"/>
      <w:lvlText w:val="%9."/>
      <w:lvlJc w:val="right"/>
      <w:pPr>
        <w:ind w:left="6480" w:hanging="180"/>
      </w:pPr>
    </w:lvl>
  </w:abstractNum>
  <w:abstractNum w:abstractNumId="5">
    <w:nsid w:val="5BD37678"/>
    <w:multiLevelType w:val="hybridMultilevel"/>
    <w:tmpl w:val="DE38B4F8"/>
    <w:lvl w:ilvl="0" w:tplc="CD5E21AE">
      <w:start w:val="1"/>
      <w:numFmt w:val="lowerLetter"/>
      <w:lvlText w:val="%1."/>
      <w:lvlJc w:val="left"/>
      <w:pPr>
        <w:ind w:left="720" w:hanging="360"/>
      </w:pPr>
      <w:rPr>
        <w:rFonts w:hint="default"/>
      </w:rPr>
    </w:lvl>
    <w:lvl w:ilvl="1" w:tplc="5EFC672A" w:tentative="1">
      <w:start w:val="1"/>
      <w:numFmt w:val="lowerLetter"/>
      <w:lvlText w:val="%2."/>
      <w:lvlJc w:val="left"/>
      <w:pPr>
        <w:ind w:left="1440" w:hanging="360"/>
      </w:pPr>
    </w:lvl>
    <w:lvl w:ilvl="2" w:tplc="17627AEA" w:tentative="1">
      <w:start w:val="1"/>
      <w:numFmt w:val="lowerRoman"/>
      <w:lvlText w:val="%3."/>
      <w:lvlJc w:val="right"/>
      <w:pPr>
        <w:ind w:left="2160" w:hanging="180"/>
      </w:pPr>
    </w:lvl>
    <w:lvl w:ilvl="3" w:tplc="F8C67C0A" w:tentative="1">
      <w:start w:val="1"/>
      <w:numFmt w:val="decimal"/>
      <w:lvlText w:val="%4."/>
      <w:lvlJc w:val="left"/>
      <w:pPr>
        <w:ind w:left="2880" w:hanging="360"/>
      </w:pPr>
    </w:lvl>
    <w:lvl w:ilvl="4" w:tplc="F1B8D23E" w:tentative="1">
      <w:start w:val="1"/>
      <w:numFmt w:val="lowerLetter"/>
      <w:lvlText w:val="%5."/>
      <w:lvlJc w:val="left"/>
      <w:pPr>
        <w:ind w:left="3600" w:hanging="360"/>
      </w:pPr>
    </w:lvl>
    <w:lvl w:ilvl="5" w:tplc="2AC8BCB0" w:tentative="1">
      <w:start w:val="1"/>
      <w:numFmt w:val="lowerRoman"/>
      <w:lvlText w:val="%6."/>
      <w:lvlJc w:val="right"/>
      <w:pPr>
        <w:ind w:left="4320" w:hanging="180"/>
      </w:pPr>
    </w:lvl>
    <w:lvl w:ilvl="6" w:tplc="49F0FB52" w:tentative="1">
      <w:start w:val="1"/>
      <w:numFmt w:val="decimal"/>
      <w:lvlText w:val="%7."/>
      <w:lvlJc w:val="left"/>
      <w:pPr>
        <w:ind w:left="5040" w:hanging="360"/>
      </w:pPr>
    </w:lvl>
    <w:lvl w:ilvl="7" w:tplc="31F01BB6" w:tentative="1">
      <w:start w:val="1"/>
      <w:numFmt w:val="lowerLetter"/>
      <w:lvlText w:val="%8."/>
      <w:lvlJc w:val="left"/>
      <w:pPr>
        <w:ind w:left="5760" w:hanging="360"/>
      </w:pPr>
    </w:lvl>
    <w:lvl w:ilvl="8" w:tplc="72CA2BA8" w:tentative="1">
      <w:start w:val="1"/>
      <w:numFmt w:val="lowerRoman"/>
      <w:lvlText w:val="%9."/>
      <w:lvlJc w:val="right"/>
      <w:pPr>
        <w:ind w:left="6480" w:hanging="180"/>
      </w:pPr>
    </w:lvl>
  </w:abstractNum>
  <w:abstractNum w:abstractNumId="6">
    <w:nsid w:val="5C1B4EDE"/>
    <w:multiLevelType w:val="hybridMultilevel"/>
    <w:tmpl w:val="C10EACF4"/>
    <w:lvl w:ilvl="0" w:tplc="4B264316">
      <w:start w:val="1"/>
      <w:numFmt w:val="lowerLetter"/>
      <w:lvlText w:val="%1."/>
      <w:lvlJc w:val="left"/>
      <w:pPr>
        <w:ind w:left="720" w:hanging="360"/>
      </w:pPr>
      <w:rPr>
        <w:rFonts w:hint="default"/>
      </w:rPr>
    </w:lvl>
    <w:lvl w:ilvl="1" w:tplc="28081162" w:tentative="1">
      <w:start w:val="1"/>
      <w:numFmt w:val="lowerLetter"/>
      <w:lvlText w:val="%2."/>
      <w:lvlJc w:val="left"/>
      <w:pPr>
        <w:ind w:left="1440" w:hanging="360"/>
      </w:pPr>
    </w:lvl>
    <w:lvl w:ilvl="2" w:tplc="29F03DAC" w:tentative="1">
      <w:start w:val="1"/>
      <w:numFmt w:val="lowerRoman"/>
      <w:lvlText w:val="%3."/>
      <w:lvlJc w:val="right"/>
      <w:pPr>
        <w:ind w:left="2160" w:hanging="180"/>
      </w:pPr>
    </w:lvl>
    <w:lvl w:ilvl="3" w:tplc="7DF229D6" w:tentative="1">
      <w:start w:val="1"/>
      <w:numFmt w:val="decimal"/>
      <w:lvlText w:val="%4."/>
      <w:lvlJc w:val="left"/>
      <w:pPr>
        <w:ind w:left="2880" w:hanging="360"/>
      </w:pPr>
    </w:lvl>
    <w:lvl w:ilvl="4" w:tplc="4A96A950" w:tentative="1">
      <w:start w:val="1"/>
      <w:numFmt w:val="lowerLetter"/>
      <w:lvlText w:val="%5."/>
      <w:lvlJc w:val="left"/>
      <w:pPr>
        <w:ind w:left="3600" w:hanging="360"/>
      </w:pPr>
    </w:lvl>
    <w:lvl w:ilvl="5" w:tplc="00B2FB14" w:tentative="1">
      <w:start w:val="1"/>
      <w:numFmt w:val="lowerRoman"/>
      <w:lvlText w:val="%6."/>
      <w:lvlJc w:val="right"/>
      <w:pPr>
        <w:ind w:left="4320" w:hanging="180"/>
      </w:pPr>
    </w:lvl>
    <w:lvl w:ilvl="6" w:tplc="BA8E794A" w:tentative="1">
      <w:start w:val="1"/>
      <w:numFmt w:val="decimal"/>
      <w:lvlText w:val="%7."/>
      <w:lvlJc w:val="left"/>
      <w:pPr>
        <w:ind w:left="5040" w:hanging="360"/>
      </w:pPr>
    </w:lvl>
    <w:lvl w:ilvl="7" w:tplc="7A9C26F0" w:tentative="1">
      <w:start w:val="1"/>
      <w:numFmt w:val="lowerLetter"/>
      <w:lvlText w:val="%8."/>
      <w:lvlJc w:val="left"/>
      <w:pPr>
        <w:ind w:left="5760" w:hanging="360"/>
      </w:pPr>
    </w:lvl>
    <w:lvl w:ilvl="8" w:tplc="276EF9D6" w:tentative="1">
      <w:start w:val="1"/>
      <w:numFmt w:val="lowerRoman"/>
      <w:lvlText w:val="%9."/>
      <w:lvlJc w:val="right"/>
      <w:pPr>
        <w:ind w:left="6480" w:hanging="180"/>
      </w:pPr>
    </w:lvl>
  </w:abstractNum>
  <w:abstractNum w:abstractNumId="7">
    <w:nsid w:val="6E9F2066"/>
    <w:multiLevelType w:val="hybridMultilevel"/>
    <w:tmpl w:val="761C9BF4"/>
    <w:lvl w:ilvl="0" w:tplc="11567F30">
      <w:start w:val="1"/>
      <w:numFmt w:val="lowerLetter"/>
      <w:lvlText w:val="%1."/>
      <w:lvlJc w:val="left"/>
      <w:pPr>
        <w:ind w:left="720" w:hanging="360"/>
      </w:pPr>
      <w:rPr>
        <w:rFonts w:hint="default"/>
      </w:rPr>
    </w:lvl>
    <w:lvl w:ilvl="1" w:tplc="DA382AB0" w:tentative="1">
      <w:start w:val="1"/>
      <w:numFmt w:val="lowerLetter"/>
      <w:lvlText w:val="%2."/>
      <w:lvlJc w:val="left"/>
      <w:pPr>
        <w:ind w:left="1440" w:hanging="360"/>
      </w:pPr>
    </w:lvl>
    <w:lvl w:ilvl="2" w:tplc="F9E8EF78" w:tentative="1">
      <w:start w:val="1"/>
      <w:numFmt w:val="lowerRoman"/>
      <w:lvlText w:val="%3."/>
      <w:lvlJc w:val="right"/>
      <w:pPr>
        <w:ind w:left="2160" w:hanging="180"/>
      </w:pPr>
    </w:lvl>
    <w:lvl w:ilvl="3" w:tplc="7AF8F60C" w:tentative="1">
      <w:start w:val="1"/>
      <w:numFmt w:val="decimal"/>
      <w:lvlText w:val="%4."/>
      <w:lvlJc w:val="left"/>
      <w:pPr>
        <w:ind w:left="2880" w:hanging="360"/>
      </w:pPr>
    </w:lvl>
    <w:lvl w:ilvl="4" w:tplc="E6388ED2" w:tentative="1">
      <w:start w:val="1"/>
      <w:numFmt w:val="lowerLetter"/>
      <w:lvlText w:val="%5."/>
      <w:lvlJc w:val="left"/>
      <w:pPr>
        <w:ind w:left="3600" w:hanging="360"/>
      </w:pPr>
    </w:lvl>
    <w:lvl w:ilvl="5" w:tplc="9E1E4D06" w:tentative="1">
      <w:start w:val="1"/>
      <w:numFmt w:val="lowerRoman"/>
      <w:lvlText w:val="%6."/>
      <w:lvlJc w:val="right"/>
      <w:pPr>
        <w:ind w:left="4320" w:hanging="180"/>
      </w:pPr>
    </w:lvl>
    <w:lvl w:ilvl="6" w:tplc="365E32C8" w:tentative="1">
      <w:start w:val="1"/>
      <w:numFmt w:val="decimal"/>
      <w:lvlText w:val="%7."/>
      <w:lvlJc w:val="left"/>
      <w:pPr>
        <w:ind w:left="5040" w:hanging="360"/>
      </w:pPr>
    </w:lvl>
    <w:lvl w:ilvl="7" w:tplc="B04A805C" w:tentative="1">
      <w:start w:val="1"/>
      <w:numFmt w:val="lowerLetter"/>
      <w:lvlText w:val="%8."/>
      <w:lvlJc w:val="left"/>
      <w:pPr>
        <w:ind w:left="5760" w:hanging="360"/>
      </w:pPr>
    </w:lvl>
    <w:lvl w:ilvl="8" w:tplc="A962890A" w:tentative="1">
      <w:start w:val="1"/>
      <w:numFmt w:val="lowerRoman"/>
      <w:lvlText w:val="%9."/>
      <w:lvlJc w:val="right"/>
      <w:pPr>
        <w:ind w:left="6480" w:hanging="180"/>
      </w:pPr>
    </w:lvl>
  </w:abstractNum>
  <w:abstractNum w:abstractNumId="8">
    <w:nsid w:val="751448CA"/>
    <w:multiLevelType w:val="hybridMultilevel"/>
    <w:tmpl w:val="0FAEFCE4"/>
    <w:lvl w:ilvl="0" w:tplc="E3D0275A">
      <w:start w:val="1"/>
      <w:numFmt w:val="lowerLetter"/>
      <w:lvlText w:val="%1."/>
      <w:lvlJc w:val="left"/>
      <w:pPr>
        <w:ind w:left="720" w:hanging="360"/>
      </w:pPr>
      <w:rPr>
        <w:rFonts w:hint="default"/>
      </w:rPr>
    </w:lvl>
    <w:lvl w:ilvl="1" w:tplc="EBAA749A" w:tentative="1">
      <w:start w:val="1"/>
      <w:numFmt w:val="lowerLetter"/>
      <w:lvlText w:val="%2."/>
      <w:lvlJc w:val="left"/>
      <w:pPr>
        <w:ind w:left="1440" w:hanging="360"/>
      </w:pPr>
    </w:lvl>
    <w:lvl w:ilvl="2" w:tplc="DBEEB2FC" w:tentative="1">
      <w:start w:val="1"/>
      <w:numFmt w:val="lowerRoman"/>
      <w:lvlText w:val="%3."/>
      <w:lvlJc w:val="right"/>
      <w:pPr>
        <w:ind w:left="2160" w:hanging="180"/>
      </w:pPr>
    </w:lvl>
    <w:lvl w:ilvl="3" w:tplc="14929D00" w:tentative="1">
      <w:start w:val="1"/>
      <w:numFmt w:val="decimal"/>
      <w:lvlText w:val="%4."/>
      <w:lvlJc w:val="left"/>
      <w:pPr>
        <w:ind w:left="2880" w:hanging="360"/>
      </w:pPr>
    </w:lvl>
    <w:lvl w:ilvl="4" w:tplc="B974346C" w:tentative="1">
      <w:start w:val="1"/>
      <w:numFmt w:val="lowerLetter"/>
      <w:lvlText w:val="%5."/>
      <w:lvlJc w:val="left"/>
      <w:pPr>
        <w:ind w:left="3600" w:hanging="360"/>
      </w:pPr>
    </w:lvl>
    <w:lvl w:ilvl="5" w:tplc="5AEA15AA" w:tentative="1">
      <w:start w:val="1"/>
      <w:numFmt w:val="lowerRoman"/>
      <w:lvlText w:val="%6."/>
      <w:lvlJc w:val="right"/>
      <w:pPr>
        <w:ind w:left="4320" w:hanging="180"/>
      </w:pPr>
    </w:lvl>
    <w:lvl w:ilvl="6" w:tplc="9C1C89CE" w:tentative="1">
      <w:start w:val="1"/>
      <w:numFmt w:val="decimal"/>
      <w:lvlText w:val="%7."/>
      <w:lvlJc w:val="left"/>
      <w:pPr>
        <w:ind w:left="5040" w:hanging="360"/>
      </w:pPr>
    </w:lvl>
    <w:lvl w:ilvl="7" w:tplc="47CA9E2C" w:tentative="1">
      <w:start w:val="1"/>
      <w:numFmt w:val="lowerLetter"/>
      <w:lvlText w:val="%8."/>
      <w:lvlJc w:val="left"/>
      <w:pPr>
        <w:ind w:left="5760" w:hanging="360"/>
      </w:pPr>
    </w:lvl>
    <w:lvl w:ilvl="8" w:tplc="A106F68C" w:tentative="1">
      <w:start w:val="1"/>
      <w:numFmt w:val="lowerRoman"/>
      <w:lvlText w:val="%9."/>
      <w:lvlJc w:val="right"/>
      <w:pPr>
        <w:ind w:left="6480" w:hanging="180"/>
      </w:pPr>
    </w:lvl>
  </w:abstractNum>
  <w:abstractNum w:abstractNumId="9">
    <w:nsid w:val="76DC1AFB"/>
    <w:multiLevelType w:val="hybridMultilevel"/>
    <w:tmpl w:val="0E08B9BE"/>
    <w:lvl w:ilvl="0" w:tplc="8C760334">
      <w:start w:val="1"/>
      <w:numFmt w:val="lowerLetter"/>
      <w:lvlText w:val="%1."/>
      <w:lvlJc w:val="left"/>
      <w:pPr>
        <w:ind w:left="720" w:hanging="360"/>
      </w:pPr>
      <w:rPr>
        <w:rFonts w:hint="default"/>
      </w:rPr>
    </w:lvl>
    <w:lvl w:ilvl="1" w:tplc="5DB6963E" w:tentative="1">
      <w:start w:val="1"/>
      <w:numFmt w:val="lowerLetter"/>
      <w:lvlText w:val="%2."/>
      <w:lvlJc w:val="left"/>
      <w:pPr>
        <w:ind w:left="1440" w:hanging="360"/>
      </w:pPr>
    </w:lvl>
    <w:lvl w:ilvl="2" w:tplc="2F2E7BE8" w:tentative="1">
      <w:start w:val="1"/>
      <w:numFmt w:val="lowerRoman"/>
      <w:lvlText w:val="%3."/>
      <w:lvlJc w:val="right"/>
      <w:pPr>
        <w:ind w:left="2160" w:hanging="180"/>
      </w:pPr>
    </w:lvl>
    <w:lvl w:ilvl="3" w:tplc="1B1E8DFC" w:tentative="1">
      <w:start w:val="1"/>
      <w:numFmt w:val="decimal"/>
      <w:lvlText w:val="%4."/>
      <w:lvlJc w:val="left"/>
      <w:pPr>
        <w:ind w:left="2880" w:hanging="360"/>
      </w:pPr>
    </w:lvl>
    <w:lvl w:ilvl="4" w:tplc="608E8E42" w:tentative="1">
      <w:start w:val="1"/>
      <w:numFmt w:val="lowerLetter"/>
      <w:lvlText w:val="%5."/>
      <w:lvlJc w:val="left"/>
      <w:pPr>
        <w:ind w:left="3600" w:hanging="360"/>
      </w:pPr>
    </w:lvl>
    <w:lvl w:ilvl="5" w:tplc="DBEEF4EC" w:tentative="1">
      <w:start w:val="1"/>
      <w:numFmt w:val="lowerRoman"/>
      <w:lvlText w:val="%6."/>
      <w:lvlJc w:val="right"/>
      <w:pPr>
        <w:ind w:left="4320" w:hanging="180"/>
      </w:pPr>
    </w:lvl>
    <w:lvl w:ilvl="6" w:tplc="9F7CD46C" w:tentative="1">
      <w:start w:val="1"/>
      <w:numFmt w:val="decimal"/>
      <w:lvlText w:val="%7."/>
      <w:lvlJc w:val="left"/>
      <w:pPr>
        <w:ind w:left="5040" w:hanging="360"/>
      </w:pPr>
    </w:lvl>
    <w:lvl w:ilvl="7" w:tplc="EFC4C908" w:tentative="1">
      <w:start w:val="1"/>
      <w:numFmt w:val="lowerLetter"/>
      <w:lvlText w:val="%8."/>
      <w:lvlJc w:val="left"/>
      <w:pPr>
        <w:ind w:left="5760" w:hanging="360"/>
      </w:pPr>
    </w:lvl>
    <w:lvl w:ilvl="8" w:tplc="B004259A" w:tentative="1">
      <w:start w:val="1"/>
      <w:numFmt w:val="lowerRoman"/>
      <w:lvlText w:val="%9."/>
      <w:lvlJc w:val="right"/>
      <w:pPr>
        <w:ind w:left="6480" w:hanging="180"/>
      </w:pPr>
    </w:lvl>
  </w:abstractNum>
  <w:num w:numId="1">
    <w:abstractNumId w:val="6"/>
  </w:num>
  <w:num w:numId="2">
    <w:abstractNumId w:val="7"/>
  </w:num>
  <w:num w:numId="3">
    <w:abstractNumId w:val="9"/>
  </w:num>
  <w:num w:numId="4">
    <w:abstractNumId w:val="5"/>
  </w:num>
  <w:num w:numId="5">
    <w:abstractNumId w:val="3"/>
  </w:num>
  <w:num w:numId="6">
    <w:abstractNumId w:val="2"/>
  </w:num>
  <w:num w:numId="7">
    <w:abstractNumId w:val="1"/>
  </w:num>
  <w:num w:numId="8">
    <w:abstractNumId w:val="8"/>
  </w:num>
  <w:num w:numId="9">
    <w:abstractNumId w:val="0"/>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56B27"/>
    <w:rsid w:val="000A33FB"/>
    <w:rsid w:val="002940D6"/>
    <w:rsid w:val="002B3B24"/>
    <w:rsid w:val="00397326"/>
    <w:rsid w:val="003F7BBB"/>
    <w:rsid w:val="004070C0"/>
    <w:rsid w:val="00461174"/>
    <w:rsid w:val="006543EC"/>
    <w:rsid w:val="0077027A"/>
    <w:rsid w:val="008B64D3"/>
    <w:rsid w:val="008E07EF"/>
    <w:rsid w:val="009441BF"/>
    <w:rsid w:val="00A045A7"/>
    <w:rsid w:val="00A80A0D"/>
    <w:rsid w:val="00A96931"/>
    <w:rsid w:val="00BD0567"/>
    <w:rsid w:val="00C56B27"/>
    <w:rsid w:val="00CB3F3A"/>
    <w:rsid w:val="00CD5D53"/>
    <w:rsid w:val="00DA06B9"/>
    <w:rsid w:val="00FC55A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1BF"/>
  </w:style>
  <w:style w:type="paragraph" w:styleId="Heading1">
    <w:name w:val="heading 1"/>
    <w:basedOn w:val="Normal"/>
    <w:link w:val="Heading1Char"/>
    <w:uiPriority w:val="9"/>
    <w:qFormat/>
    <w:rsid w:val="00DA06B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6B27"/>
    <w:pPr>
      <w:ind w:left="720"/>
      <w:contextualSpacing/>
    </w:pPr>
  </w:style>
  <w:style w:type="paragraph" w:styleId="NormalWeb">
    <w:name w:val="Normal (Web)"/>
    <w:basedOn w:val="Normal"/>
    <w:uiPriority w:val="99"/>
    <w:semiHidden/>
    <w:unhideWhenUsed/>
    <w:rsid w:val="008E07E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E07EF"/>
    <w:rPr>
      <w:color w:val="0000FF"/>
      <w:u w:val="single"/>
    </w:rPr>
  </w:style>
  <w:style w:type="character" w:customStyle="1" w:styleId="Heading1Char">
    <w:name w:val="Heading 1 Char"/>
    <w:basedOn w:val="DefaultParagraphFont"/>
    <w:link w:val="Heading1"/>
    <w:uiPriority w:val="9"/>
    <w:rsid w:val="00DA06B9"/>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uwanthikagunaratne.wordpress.com/2014/02/28/north-sea-continental-shelf-cases-summary/" TargetMode="External"/><Relationship Id="rId5" Type="http://schemas.openxmlformats.org/officeDocument/2006/relationships/hyperlink" Target="https://www.icj-cij.org/en/case/5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719</Words>
  <Characters>4103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2020-02-03T21:37:00Z</dcterms:created>
  <dcterms:modified xsi:type="dcterms:W3CDTF">2020-02-03T21:37:00Z</dcterms:modified>
</cp:coreProperties>
</file>